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0"/>
      </w:pPr>
      <w:r>
        <w:rPr>
          <w:sz w:val="2"/>
          <w:szCs w:val="2"/>
        </w:rPr>
        <w:t xml:space="preserve"/>
      </w:r>
    </w:p>
    <w:p>
      <w:pPr>
        <w:shd w:fill="000000" w:val="clear"/>
        <w:spacing w:after="300" w:before="300" w:line="380"/>
        <w:jc w:val="center"/>
      </w:pPr>
      <w:r>
        <w:rPr>
          <w:b/>
          <w:bCs/>
          <w:color w:val="FFD100"/>
          <w:sz w:val="64"/>
          <w:szCs w:val="64"/>
        </w:rPr>
        <w:t xml:space="preserve">DUE</w:t>
      </w:r>
      <w:r>
        <w:rPr>
          <w:b/>
          <w:bCs/>
          <w:color w:val="00C44F"/>
          <w:sz w:val="64"/>
          <w:szCs w:val="64"/>
        </w:rPr>
        <w:t xml:space="preserve">SMART</w:t>
      </w:r>
      <w:r>
        <w:rPr>
          <w:b/>
          <w:bCs/>
          <w:color w:val="FFFFFF"/>
          <w:sz w:val="22"/>
          <w:szCs w:val="22"/>
        </w:rPr>
        <w:br/>
        <w:br/>
        <w:t xml:space="preserve">COACH PLATFORM  ·  TRAINING MANUAL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20"/>
        <w:gridCol w:w="1310"/>
        <w:gridCol w:w="1500"/>
        <w:gridCol w:w="1310"/>
        <w:gridCol w:w="2620"/>
      </w:tblGrid>
      <w:tr>
        <w:trPr>
          <w:trHeight w:val="60" w:hRule="exact"/>
        </w:trPr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D1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60" w:before="40" w:line="20"/>
      </w:pPr>
      <w:r>
        <w:rPr>
          <w:sz w:val="2"/>
          <w:szCs w:val="2"/>
        </w:rPr>
        <w:t xml:space="preserve"/>
      </w:r>
    </w:p>
    <w:p>
      <w:pPr>
        <w:spacing w:after="60" w:before="200"/>
      </w:pPr>
      <w:r>
        <w:rPr>
          <w:b/>
          <w:bCs/>
          <w:color w:val="1A211D"/>
          <w:sz w:val="56"/>
          <w:szCs w:val="56"/>
        </w:rPr>
        <w:t xml:space="preserve">Coach Training Manual</w:t>
      </w:r>
    </w:p>
    <w:p>
      <w:pPr>
        <w:pBdr>
          <w:bottom w:val="single" w:color="FFD100" w:sz="18" w:space="6"/>
        </w:pBdr>
        <w:spacing w:after="220"/>
      </w:pPr>
      <w:r>
        <w:t xml:space="preserve"/>
      </w:r>
    </w:p>
    <w:p>
      <w:pPr>
        <w:spacing w:after="520" w:before="0" w:line="276"/>
      </w:pPr>
      <w:r>
        <w:rPr>
          <w:i/>
          <w:iCs/>
          <w:color w:val="5C6B63"/>
          <w:sz w:val="26"/>
          <w:szCs w:val="26"/>
        </w:rPr>
        <w:t xml:space="preserve">Run DueSmart under your own brand. Your clients keep their own accounts and consent; you guide the credit-card timing — never bank logins, never card numbers.</w:t>
      </w:r>
    </w:p>
    <w:p>
      <w:pPr>
        <w:spacing w:after="120" w:before="0" w:line="276"/>
      </w:pPr>
      <w:r>
        <w:rPr>
          <w:color w:val="1A211D"/>
          <w:sz w:val="22"/>
          <w:szCs w:val="22"/>
        </w:rPr>
        <w:t xml:space="preserve">Includes: Part 1 — Coach Usage Guide   ·   Part 2 — Internal Operations Appendix</w:t>
      </w:r>
    </w:p>
    <w:p>
      <w:pPr>
        <w:spacing w:after="40" w:before="0" w:line="276"/>
      </w:pPr>
      <w:r>
        <w:rPr>
          <w:color w:val="5C6B63"/>
          <w:sz w:val="22"/>
          <w:szCs w:val="22"/>
        </w:rPr>
        <w:t xml:space="preserve">Version 1.0  ·  June 2026</w:t>
      </w:r>
    </w:p>
    <w:p>
      <w:pPr>
        <w:spacing w:after="0" w:before="0" w:line="276"/>
      </w:pPr>
      <w:r>
        <w:rPr>
          <w:b/>
          <w:bCs/>
          <w:color w:val="0A5C2E"/>
          <w:sz w:val="24"/>
          <w:szCs w:val="24"/>
        </w:rPr>
        <w:t xml:space="preserve">Mayan Botanicals · DueSmart</w:t>
      </w:r>
    </w:p>
    <w:p>
      <w:r>
        <w:br w:type="pag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20"/>
        <w:gridCol w:w="1310"/>
        <w:gridCol w:w="1500"/>
        <w:gridCol w:w="1310"/>
        <w:gridCol w:w="2620"/>
      </w:tblGrid>
      <w:tr>
        <w:trPr>
          <w:trHeight w:val="60" w:hRule="exact"/>
        </w:trPr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D1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160" w:before="40" w:line="20"/>
      </w:pPr>
      <w:r>
        <w:rPr>
          <w:sz w:val="2"/>
          <w:szCs w:val="2"/>
        </w:rPr>
        <w:t xml:space="preserve"/>
      </w:r>
    </w:p>
    <w:p>
      <w:pPr>
        <w:spacing w:after="60"/>
      </w:pPr>
      <w:r>
        <w:rPr>
          <w:b/>
          <w:bCs/>
          <w:color w:val="B8860B"/>
          <w:sz w:val="22"/>
          <w:szCs w:val="22"/>
        </w:rPr>
        <w:t xml:space="preserve">PART 1</w:t>
      </w:r>
    </w:p>
    <w:p>
      <w:pPr>
        <w:pStyle w:val="Heading1"/>
      </w:pPr>
      <w:r>
        <w:t xml:space="preserve">Coach Usage Guide</w:t>
      </w:r>
    </w:p>
    <w:p>
      <w:pPr>
        <w:spacing w:after="120" w:before="0" w:line="276"/>
      </w:pPr>
      <w:r>
        <w:rPr>
          <w:i/>
          <w:iCs/>
          <w:color w:val="5C6B63"/>
        </w:rPr>
        <w:t xml:space="preserve">Everything a coach needs to run their book inside DueSmart — from first login to a steady weekly rhythm.</w:t>
      </w:r>
    </w:p>
    <w:p>
      <w:pPr>
        <w:pStyle w:val="Heading2"/>
      </w:pPr>
      <w:r>
        <w:t xml:space="preserve">1. The simple model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DueSmart is a credit-card timing tool, not a bank app. It helps people pay at the right moment — before a statement closes and before a due date — so their reported utilization stays low and payments are never late. As a coach, you get a read-only window into your clients' timing so you can guide them, without ever touching their money or their logins.</w:t>
      </w:r>
    </w:p>
    <w:p>
      <w:pPr>
        <w:spacing w:after="120" w:before="0" w:line="276"/>
      </w:pPr>
      <w:r>
        <w:rPr>
          <w:b/>
          <w:bCs/>
        </w:rPr>
        <w:t xml:space="preserve">Three things to remember: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Your clients own their DueSmart accounts. They enter their own data and consent to share it with you.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You see timing only — utilization, due dates, statement-close dates, and what needs attention. Never card numbers, CVVs, PINs, or bank logins.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Clients can revoke your access at any time from their own portal. Trust is the product.</w:t>
      </w:r>
    </w:p>
    <w:p>
      <w:pPr>
        <w:pBdr>
          <w:left w:val="single" w:color="0A5C2E" w:sz="18" w:space="10"/>
        </w:pBdr>
        <w:shd w:fill="E8F8EF" w:val="clear"/>
        <w:spacing w:after="160" w:before="100" w:line="276"/>
      </w:pPr>
      <w:r>
        <w:rPr>
          <w:b/>
          <w:bCs/>
          <w:color w:val="0A5C2E"/>
        </w:rPr>
        <w:t xml:space="preserve">Your promise to clients:  </w:t>
      </w:r>
      <w:r>
        <w:rPr>
          <w:color w:val="1A211D"/>
        </w:rPr>
        <w:t xml:space="preserve">“I don’t need your bank login or card numbers. I just help you act on timing you already track — and you can revoke my view anytime.”</w:t>
      </w:r>
    </w:p>
    <w:p>
      <w:pPr>
        <w:pStyle w:val="Heading2"/>
      </w:pPr>
      <w:r>
        <w:t xml:space="preserve">2. Getting started — log in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Open your coach workspace and sign in with your DueSmart coach account.</w:t>
      </w:r>
    </w:p>
    <w:p>
      <w:pPr>
        <w:pStyle w:val="ListParagraph"/>
        <w:numPr>
          <w:ilvl w:val="0"/>
          <w:numId w:val="3"/>
        </w:numPr>
        <w:spacing w:after="80" w:line="272"/>
      </w:pPr>
      <w:r>
        <w:rPr>
          <w:color w:val="1A211D"/>
        </w:rPr>
        <w:t xml:space="preserve">Go to your coach workspace: </w:t>
      </w:r>
      <w:r>
        <w:rPr>
          <w:b/>
          <w:bCs/>
          <w:color w:val="0A5C2E"/>
        </w:rPr>
        <w:t xml:space="preserve">duesmart.com/coach.html</w:t>
      </w:r>
    </w:p>
    <w:p>
      <w:pPr>
        <w:pStyle w:val="ListParagraph"/>
        <w:numPr>
          <w:ilvl w:val="0"/>
          <w:numId w:val="3"/>
        </w:numPr>
        <w:spacing w:after="80" w:line="272"/>
      </w:pPr>
      <w:r>
        <w:rPr>
          <w:color w:val="1A211D"/>
        </w:rPr>
        <w:t xml:space="preserve">Sign in with the email and access code you were provisioned. Bookmark the page — it's your home base.</w:t>
      </w:r>
    </w:p>
    <w:p>
      <w:pPr>
        <w:pStyle w:val="ListParagraph"/>
        <w:numPr>
          <w:ilvl w:val="0"/>
          <w:numId w:val="3"/>
        </w:numPr>
        <w:spacing w:after="80" w:line="272"/>
      </w:pPr>
      <w:r>
        <w:rPr>
          <w:color w:val="1A211D"/>
        </w:rPr>
        <w:t xml:space="preserve">If you land on a “Coach access only” screen, your account isn't flagged as a coach yet — contact support (see Part 2) and you'll be set up.</w:t>
      </w:r>
    </w:p>
    <w:p>
      <w:pPr>
        <w:spacing w:after="120" w:before="0" w:line="276"/>
      </w:pPr>
      <w:r>
        <w:rPr>
          <w:b/>
          <w:bCs/>
        </w:rPr>
        <w:t xml:space="preserve">What you'll see, top to bottom: </w:t>
      </w:r>
      <w:r>
        <w:rPr>
          <w:color w:val="1A211D"/>
        </w:rPr>
        <w:t xml:space="preserve">your name and seats used, an invite box, a branding panel, your billing bar, an Overview dashboard, then your client roster.</w:t>
      </w:r>
    </w:p>
    <w:p>
      <w:pPr>
        <w:pStyle w:val="Heading2"/>
      </w:pPr>
      <w:r>
        <w:t xml:space="preserve">3. Brand your client portal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Make the portal your clients use feel like yours. This takes about two minutes.</w:t>
      </w:r>
    </w:p>
    <w:p>
      <w:pPr>
        <w:pStyle w:val="ListParagraph"/>
        <w:numPr>
          <w:ilvl w:val="0"/>
          <w:numId w:val="4"/>
        </w:numPr>
        <w:spacing w:after="80" w:line="272"/>
      </w:pPr>
      <w:r>
        <w:rPr>
          <w:color w:val="1A211D"/>
        </w:rPr>
        <w:t xml:space="preserve">Click “Brand this portal for your clients.”</w:t>
      </w:r>
    </w:p>
    <w:p>
      <w:pPr>
        <w:pStyle w:val="ListParagraph"/>
        <w:numPr>
          <w:ilvl w:val="0"/>
          <w:numId w:val="4"/>
        </w:numPr>
        <w:spacing w:after="80" w:line="272"/>
      </w:pPr>
      <w:r>
        <w:t xml:space="preserve">Fill in: </w:t>
      </w:r>
      <w:r>
        <w:rPr>
          <w:b/>
          <w:bCs/>
        </w:rPr>
        <w:t xml:space="preserve">Brand name</w:t>
      </w:r>
      <w:r>
        <w:t xml:space="preserve">, </w:t>
      </w:r>
      <w:r>
        <w:rPr>
          <w:b/>
          <w:bCs/>
        </w:rPr>
        <w:t xml:space="preserve">Logo URL</w:t>
      </w:r>
      <w:r>
        <w:t xml:space="preserve"> (must start with https), </w:t>
      </w:r>
      <w:r>
        <w:rPr>
          <w:b/>
          <w:bCs/>
        </w:rPr>
        <w:t xml:space="preserve">Primary color</w:t>
      </w:r>
      <w:r>
        <w:t xml:space="preserve"> and </w:t>
      </w:r>
      <w:r>
        <w:rPr>
          <w:b/>
          <w:bCs/>
        </w:rPr>
        <w:t xml:space="preserve">Accent color</w:t>
      </w:r>
      <w:r>
        <w:t xml:space="preserve">, and your </w:t>
      </w:r>
      <w:r>
        <w:rPr>
          <w:b/>
          <w:bCs/>
        </w:rPr>
        <w:t xml:space="preserve">client support email</w:t>
      </w:r>
      <w:r>
        <w:t xml:space="preserve">.</w:t>
      </w:r>
    </w:p>
    <w:p>
      <w:pPr>
        <w:pStyle w:val="ListParagraph"/>
        <w:numPr>
          <w:ilvl w:val="0"/>
          <w:numId w:val="4"/>
        </w:numPr>
        <w:spacing w:after="80" w:line="272"/>
      </w:pPr>
      <w:r>
        <w:rPr>
          <w:color w:val="1A211D"/>
        </w:rPr>
        <w:t xml:space="preserve">Click “Save branding.” Your branded client link appears — it looks like duesmart.com/portal.html?coach=yourslug.</w:t>
      </w:r>
    </w:p>
    <w:p>
      <w:pPr>
        <w:pStyle w:val="ListParagraph"/>
        <w:numPr>
          <w:ilvl w:val="0"/>
          <w:numId w:val="4"/>
        </w:numPr>
        <w:spacing w:after="80" w:line="272"/>
      </w:pPr>
      <w:r>
        <w:rPr>
          <w:color w:val="1A211D"/>
        </w:rPr>
        <w:t xml:space="preserve">Share that branded link with clients. Your logo, colors, and support email now show on their portal.</w:t>
      </w:r>
    </w:p>
    <w:p>
      <w:pPr>
        <w:pBdr>
          <w:left w:val="single" w:color="B8860B" w:sz="18" w:space="10"/>
        </w:pBdr>
        <w:shd w:fill="FFF6D6" w:val="clear"/>
        <w:spacing w:after="160" w:before="100" w:line="276"/>
      </w:pPr>
      <w:r>
        <w:rPr>
          <w:b/>
          <w:bCs/>
          <w:color w:val="B8860B"/>
        </w:rPr>
        <w:t xml:space="preserve">Tip:  </w:t>
      </w:r>
      <w:r>
        <w:rPr>
          <w:color w:val="1A211D"/>
        </w:rPr>
        <w:t xml:space="preserve">Host your logo somewhere public over https (your website, a CDN). The portal only stores the link, never the image file.</w:t>
      </w:r>
    </w:p>
    <w:p>
      <w:pPr>
        <w:pStyle w:val="Heading2"/>
      </w:pPr>
      <w:r>
        <w:t xml:space="preserve">4. Invite your first client</w:t>
      </w:r>
    </w:p>
    <w:p>
      <w:pPr>
        <w:pStyle w:val="ListParagraph"/>
        <w:numPr>
          <w:ilvl w:val="0"/>
          <w:numId w:val="5"/>
        </w:numPr>
        <w:spacing w:after="80" w:line="272"/>
      </w:pPr>
      <w:r>
        <w:t xml:space="preserve">In the invite box, type the client's email and click </w:t>
      </w:r>
      <w:r>
        <w:rPr>
          <w:b/>
          <w:bCs/>
        </w:rPr>
        <w:t xml:space="preserve">Invite client</w:t>
      </w:r>
      <w:r>
        <w:t xml:space="preserve">.</w:t>
      </w:r>
    </w:p>
    <w:p>
      <w:pPr>
        <w:pStyle w:val="ListParagraph"/>
        <w:numPr>
          <w:ilvl w:val="0"/>
          <w:numId w:val="5"/>
        </w:numPr>
        <w:spacing w:after="80" w:line="272"/>
      </w:pPr>
      <w:r>
        <w:rPr>
          <w:color w:val="1A211D"/>
        </w:rPr>
        <w:t xml:space="preserve">A single-use invite link is generated. Share it with your client (text, email, or your CRM).</w:t>
      </w:r>
    </w:p>
    <w:p>
      <w:pPr>
        <w:pStyle w:val="ListParagraph"/>
        <w:numPr>
          <w:ilvl w:val="0"/>
          <w:numId w:val="5"/>
        </w:numPr>
        <w:spacing w:after="80" w:line="272"/>
      </w:pPr>
      <w:r>
        <w:rPr>
          <w:color w:val="1A211D"/>
        </w:rPr>
        <w:t xml:space="preserve">Your client opens the link, logs into their own DueSmart portal, and consents to share their timing with you.</w:t>
      </w:r>
    </w:p>
    <w:p>
      <w:pPr>
        <w:pStyle w:val="ListParagraph"/>
        <w:numPr>
          <w:ilvl w:val="0"/>
          <w:numId w:val="5"/>
        </w:numPr>
        <w:spacing w:after="80" w:line="272"/>
      </w:pPr>
      <w:r>
        <w:rPr>
          <w:color w:val="1A211D"/>
        </w:rPr>
        <w:t xml:space="preserve">Within minutes they appear on your roster with a timing summary. Done.</w:t>
      </w:r>
    </w:p>
    <w:p>
      <w:pPr>
        <w:spacing w:after="120" w:before="0" w:line="276"/>
      </w:pPr>
      <w:r>
        <w:rPr>
          <w:b/>
          <w:bCs/>
        </w:rPr>
        <w:t xml:space="preserve">Seats: </w:t>
      </w:r>
      <w:r>
        <w:t xml:space="preserve">your plan sets how many clients you can have linked at once — 25 on Founder, 75 on Pro. Invites that are pending count toward your seats until they expire or are accepted.</w:t>
      </w:r>
    </w:p>
    <w:p>
      <w:pPr>
        <w:pBdr>
          <w:left w:val="single" w:color="0A5C2E" w:sz="18" w:space="10"/>
        </w:pBdr>
        <w:shd w:fill="E8F8EF" w:val="clear"/>
        <w:spacing w:after="160" w:before="100" w:line="276"/>
      </w:pPr>
      <w:r>
        <w:rPr>
          <w:b/>
          <w:bCs/>
          <w:color w:val="0A5C2E"/>
        </w:rPr>
        <w:t xml:space="preserve">Consent is required, always:  </w:t>
      </w:r>
      <w:r>
        <w:rPr>
          <w:color w:val="1A211D"/>
        </w:rPr>
        <w:t xml:space="preserve">A client only appears after they log in and approve. If they haven’t consented, you won’t see them — that’s the system protecting both of you.</w:t>
      </w:r>
    </w:p>
    <w:p>
      <w:pPr>
        <w:pStyle w:val="Heading2"/>
      </w:pPr>
      <w:r>
        <w:t xml:space="preserve">5. Read your Overview dashboard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The Overview strip gives you the whole book at a glance. Every card is clickable — tapping one filters your roster to exactly those clients and scrolls you to them.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Card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What it tells you (and what to do)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Active clients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How many clients are linked vs. your seat limit, and seats left. Click to show all.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FBE9E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Need attention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Clients with one or more items to review. Click to focus only on them — start your day here.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Items to review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Total number of timing items across your whole book that warrant a nudge or a note.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Avg utilization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Average reported utilization across clients. Turns red above the 30% target — a coaching signal.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High utilization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Clients reporting above 30%. Click to coach pay-before-close timing with them.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No recent update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Clients who haven't updated in 30+ days. Click to find who may have gone quiet.</w:t>
            </w:r>
          </w:p>
        </w:tc>
      </w:tr>
    </w:tbl>
    <w:p>
      <w:pPr>
        <w:pStyle w:val="Heading2"/>
      </w:pPr>
      <w:r>
        <w:t xml:space="preserve">6. Work your roster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Below the dashboard is your client list. Use the tools to find who needs you.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Search </w:t>
      </w:r>
      <w:r>
        <w:t xml:space="preserve">by client name or email.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Sort </w:t>
      </w:r>
      <w:r>
        <w:t xml:space="preserve">by Needs attention (default), Utilization, or Name.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Filter </w:t>
      </w:r>
      <w:r>
        <w:t xml:space="preserve">with the chips: All, Needs attention, High utilization, No recent update.</w:t>
      </w:r>
    </w:p>
    <w:p>
      <w:pPr>
        <w:spacing w:after="120" w:before="0" w:line="276"/>
      </w:pPr>
      <w:r>
        <w:rPr>
          <w:color w:val="1A211D"/>
        </w:rPr>
        <w:t xml:space="preserve">Each row shows </w:t>
      </w:r>
      <w:r>
        <w:rPr>
          <w:b/>
          <w:bCs/>
        </w:rPr>
        <w:t xml:space="preserve">the client's name, email, account count, utilization %, their next reminder, and a status badge</w:t>
      </w:r>
      <w:r>
        <w:rPr>
          <w:color w:val="1A211D"/>
        </w:rPr>
        <w:t xml:space="preserve"> (red “to review” or green “Good”). Click any row to open the client.</w:t>
      </w:r>
    </w:p>
    <w:p>
      <w:pPr>
        <w:pStyle w:val="Heading2"/>
      </w:pPr>
      <w:r>
        <w:t xml:space="preserve">7. Open a client (drill-in)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Clicking a client opens a side panel with their full timing picture: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Timing summary &amp; recommendation </w:t>
      </w:r>
      <w:r>
        <w:t xml:space="preserve">— their reported utilization vs. goal and a plain-language recommended next action.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Accounts &amp; timing </w:t>
      </w:r>
      <w:r>
        <w:t xml:space="preserve">— each card/loan with balance, utilization, due and statement-close timing, and any “pay before close” target.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Private notes </w:t>
      </w:r>
      <w:r>
        <w:t xml:space="preserve">— coach-only notes about the client. They never see these.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Request a reminder </w:t>
      </w:r>
      <w:r>
        <w:t xml:space="preserve">— nudge DueSmart to send the client a timing reminder through DueSmart's own channels.</w:t>
      </w:r>
    </w:p>
    <w:p>
      <w:pPr>
        <w:pBdr>
          <w:left w:val="single" w:color="0A5C2E" w:sz="18" w:space="10"/>
        </w:pBdr>
        <w:shd w:fill="F2F4F3" w:val="clear"/>
        <w:spacing w:after="160" w:before="100" w:line="276"/>
      </w:pPr>
      <w:r>
        <w:rPr>
          <w:b/>
          <w:bCs/>
          <w:color w:val="0A5C2E"/>
        </w:rPr>
        <w:t xml:space="preserve">Read-only by design:  </w:t>
      </w:r>
      <w:r>
        <w:rPr>
          <w:color w:val="1A211D"/>
        </w:rPr>
        <w:t xml:space="preserve">You can review, note, and nudge — you cannot edit a client’s balances, mark their payments, or change their accounts. Only the client can change their own data. This keeps you safe and the data trustworthy.</w:t>
      </w:r>
    </w:p>
    <w:p>
      <w:pPr>
        <w:pStyle w:val="Heading2"/>
      </w:pPr>
      <w:r>
        <w:t xml:space="preserve">8. Billing &amp; seats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Your subscription is managed in the billing bar at the top of your workspace.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2120"/>
        <w:gridCol w:w="4120"/>
      </w:tblGrid>
      <w:tr>
        <w:trPr>
          <w:tblHeader/>
        </w:trPr>
        <w:tc>
          <w:tcPr>
            <w:tcW w:type="dxa" w:w="312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Plan</w:t>
            </w:r>
          </w:p>
        </w:tc>
        <w:tc>
          <w:tcPr>
            <w:tcW w:type="dxa" w:w="212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Founder rate</w:t>
            </w:r>
          </w:p>
        </w:tc>
        <w:tc>
          <w:tcPr>
            <w:tcW w:type="dxa" w:w="412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Client seats</w:t>
            </w:r>
          </w:p>
        </w:tc>
      </w:tr>
      <w:tr>
        <w:tc>
          <w:tcPr>
            <w:tcW w:type="dxa" w:w="312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Coach (Founder)</w:t>
            </w:r>
          </w:p>
        </w:tc>
        <w:tc>
          <w:tcPr>
            <w:tcW w:type="dxa" w:w="212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$49 / mo</w:t>
            </w:r>
          </w:p>
        </w:tc>
        <w:tc>
          <w:tcPr>
            <w:tcW w:type="dxa" w:w="412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Up to 25 clients</w:t>
            </w:r>
          </w:p>
        </w:tc>
      </w:tr>
      <w:tr>
        <w:tc>
          <w:tcPr>
            <w:tcW w:type="dxa" w:w="312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Pro (Founder)</w:t>
            </w:r>
          </w:p>
        </w:tc>
        <w:tc>
          <w:tcPr>
            <w:tcW w:type="dxa" w:w="212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$99 / mo</w:t>
            </w:r>
          </w:p>
        </w:tc>
        <w:tc>
          <w:tcPr>
            <w:tcW w:type="dxa" w:w="412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Up to 75 clients</w:t>
            </w:r>
          </w:p>
        </w:tc>
      </w:tr>
    </w:tbl>
    <w:p>
      <w:pPr>
        <w:spacing w:after="120" w:before="0" w:line="276"/>
      </w:pPr>
      <w:r>
        <w:rPr>
          <w:b/>
          <w:bCs/>
          <w:color w:val="B8860B"/>
        </w:rPr>
        <w:t xml:space="preserve">Founder rate locked for life: </w:t>
      </w:r>
      <w:r>
        <w:t xml:space="preserve">as one of the first 25 coaches, your rate stays put while your subscription is active, even after public pricing rises ($99 / $199).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Start / upgrade </w:t>
      </w:r>
      <w:r>
        <w:t xml:space="preserve">with the buttons in the billing bar (Founder, or upgrade to Pro for more seats).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Manage billing </w:t>
      </w:r>
      <w:r>
        <w:t xml:space="preserve">opens the secure billing portal to update your card, see invoices, or cancel. You can cancel anytime; your clients' data always stays theirs.</w:t>
      </w:r>
    </w:p>
    <w:p>
      <w:pPr>
        <w:pStyle w:val="Heading2"/>
      </w:pPr>
      <w:r>
        <w:t xml:space="preserve">9. What you never see — the trust rules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These are guarantees you can repeat to clients with confidence: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No bank logins, ever. DueSmart never connects to a bank or asks for one.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No full card numbers, CVVs, or PINs. Only nicknames, balances, limits, and dates the client typed in.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You only see a client after they consent, and only while they keep access on.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You can't move money, edit their accounts, or post anything to their finances.</w:t>
      </w:r>
    </w:p>
    <w:p>
      <w:pPr>
        <w:pStyle w:val="Heading2"/>
      </w:pPr>
      <w:r>
        <w:t xml:space="preserve">10. Your weekly rhythm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A simple cadence keeps your whole book healthy without overwhelm: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Daily (2 min): </w:t>
      </w:r>
      <w:r>
        <w:t xml:space="preserve">Open the dashboard, click “Need attention,” nudge anyone with an item due soon.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Weekly (15 min): </w:t>
      </w:r>
      <w:r>
        <w:t xml:space="preserve">Click “High utilization” and coach pay-before-close timing; check “No recent update” and re-engage quiet clients with a note or nudge.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Monthly: </w:t>
      </w:r>
      <w:r>
        <w:t xml:space="preserve">Review who's improved (utilization trending down), celebrate wins, and invite new clients while seats are open.</w:t>
      </w:r>
    </w:p>
    <w:p>
      <w:r>
        <w:br w:type="pag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20"/>
        <w:gridCol w:w="1310"/>
        <w:gridCol w:w="1500"/>
        <w:gridCol w:w="1310"/>
        <w:gridCol w:w="2620"/>
      </w:tblGrid>
      <w:tr>
        <w:trPr>
          <w:trHeight w:val="60" w:hRule="exact"/>
        </w:trPr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D1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160" w:before="40" w:line="20"/>
      </w:pPr>
      <w:r>
        <w:rPr>
          <w:sz w:val="2"/>
          <w:szCs w:val="2"/>
        </w:rPr>
        <w:t xml:space="preserve"/>
      </w:r>
    </w:p>
    <w:p>
      <w:pPr>
        <w:spacing w:after="60"/>
      </w:pPr>
      <w:r>
        <w:rPr>
          <w:b/>
          <w:bCs/>
          <w:color w:val="B8860B"/>
          <w:sz w:val="22"/>
          <w:szCs w:val="22"/>
        </w:rPr>
        <w:t xml:space="preserve">PART 2</w:t>
      </w:r>
    </w:p>
    <w:p>
      <w:pPr>
        <w:pStyle w:val="Heading1"/>
      </w:pPr>
      <w:r>
        <w:t xml:space="preserve">Internal Operations Appendix</w:t>
      </w:r>
    </w:p>
    <w:p>
      <w:pPr>
        <w:spacing w:after="120" w:before="0" w:line="276"/>
      </w:pPr>
      <w:r>
        <w:rPr>
          <w:i/>
          <w:iCs/>
          <w:color w:val="5C6B63"/>
        </w:rPr>
        <w:t xml:space="preserve">For DocTA Dwight / the DueSmart team — how to provision, support, and verify coaches. Not for distribution to coaches.</w:t>
      </w:r>
    </w:p>
    <w:p>
      <w:pPr>
        <w:pStyle w:val="Heading2"/>
      </w:pPr>
      <w:r>
        <w:t xml:space="preserve">A. Provisioning a new coach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A coach is a normal DueSmart customer plus a coach record. High-level steps (exact admin commands live in the Coach Onboarding &amp; Monetization Playbook):</w:t>
      </w:r>
    </w:p>
    <w:p>
      <w:pPr>
        <w:pStyle w:val="ListParagraph"/>
        <w:numPr>
          <w:ilvl w:val="0"/>
          <w:numId w:val="6"/>
        </w:numPr>
        <w:spacing w:after="80" w:line="272"/>
      </w:pPr>
      <w:r>
        <w:rPr>
          <w:color w:val="1A211D"/>
        </w:rPr>
        <w:t xml:space="preserve">Confirm the customer exists (or create their DueSmart login).</w:t>
      </w:r>
    </w:p>
    <w:p>
      <w:pPr>
        <w:pStyle w:val="ListParagraph"/>
        <w:numPr>
          <w:ilvl w:val="0"/>
          <w:numId w:val="6"/>
        </w:numPr>
        <w:spacing w:after="80" w:line="272"/>
      </w:pPr>
      <w:r>
        <w:rPr>
          <w:color w:val="1A211D"/>
        </w:rPr>
        <w:t xml:space="preserve">Create or update their coach record: set a unique slug, display name, status = active, and seat limit (25 for Founder, 75 for Pro).</w:t>
      </w:r>
    </w:p>
    <w:p>
      <w:pPr>
        <w:pStyle w:val="ListParagraph"/>
        <w:numPr>
          <w:ilvl w:val="0"/>
          <w:numId w:val="6"/>
        </w:numPr>
        <w:spacing w:after="80" w:line="272"/>
      </w:pPr>
      <w:r>
        <w:rPr>
          <w:color w:val="1A211D"/>
        </w:rPr>
        <w:t xml:space="preserve">Send the coach the hand-off message with their workspace link (duesmart.com/coach.html) and how to sign in.</w:t>
      </w:r>
    </w:p>
    <w:p>
      <w:pPr>
        <w:pBdr>
          <w:left w:val="single" w:color="0A5C2E" w:sz="18" w:space="10"/>
        </w:pBdr>
        <w:shd w:fill="F2F4F3" w:val="clear"/>
        <w:spacing w:after="160" w:before="100" w:line="276"/>
      </w:pPr>
      <w:r>
        <w:rPr>
          <w:b/>
          <w:bCs/>
          <w:color w:val="0A5C2E"/>
        </w:rPr>
        <w:t xml:space="preserve">Reference:  </w:t>
      </w:r>
      <w:r>
        <w:rPr>
          <w:color w:val="1A211D"/>
        </w:rPr>
        <w:t xml:space="preserve">Use deliverables/coach-onboarding-and-monetization-playbook.md for the exact provisioning steps, hand-off message, and client invitation copy. This appendix is the summary, not the source of truth for commands.</w:t>
      </w:r>
    </w:p>
    <w:p>
      <w:pPr>
        <w:pStyle w:val="Heading2"/>
      </w:pPr>
      <w:r>
        <w:t xml:space="preserve">B. Coach hand-off message</w:t>
      </w:r>
    </w:p>
    <w:p>
      <w:pPr>
        <w:spacing w:after="120" w:before="0" w:line="276"/>
      </w:pPr>
      <w:r>
        <w:rPr>
          <w:b/>
          <w:bCs/>
        </w:rPr>
        <w:t xml:space="preserve">Template: </w:t>
      </w:r>
      <w:r>
        <w:t xml:space="preserve">“You’re set up as a DueSmart coach. Log in at duesmart.com/coach.html with your email and the access code I sent. First three steps: (1) brand your portal, (2) invite a client, (3) watch them appear on your roster after they consent. Reply here with any questions.”</w:t>
      </w:r>
    </w:p>
    <w:p>
      <w:pPr>
        <w:pStyle w:val="Heading2"/>
      </w:pPr>
      <w:r>
        <w:t xml:space="preserve">C. Billing &amp; the self-test checkout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Coach billing is isolated from consumer billing by Stripe metadata (type = coach); consumer subscriptions are never touched. Founder $49 / 25 seats, Pro $99 / 75 seats; the seat limit automatically gates invites.</w:t>
      </w:r>
    </w:p>
    <w:p>
      <w:pPr>
        <w:spacing w:after="120" w:before="0" w:line="276"/>
      </w:pPr>
      <w:r>
        <w:rPr>
          <w:b/>
          <w:bCs/>
        </w:rPr>
        <w:t xml:space="preserve">Self-test checkout (the one open gate before charging a real coach): </w:t>
      </w:r>
    </w:p>
    <w:p>
      <w:pPr>
        <w:pStyle w:val="ListParagraph"/>
        <w:numPr>
          <w:ilvl w:val="0"/>
          <w:numId w:val="7"/>
        </w:numPr>
        <w:spacing w:after="80" w:line="272"/>
      </w:pPr>
      <w:r>
        <w:rPr>
          <w:color w:val="1A211D"/>
        </w:rPr>
        <w:t xml:space="preserve">Log into the mayan coach account at coach.html.</w:t>
      </w:r>
    </w:p>
    <w:p>
      <w:pPr>
        <w:pStyle w:val="ListParagraph"/>
        <w:numPr>
          <w:ilvl w:val="0"/>
          <w:numId w:val="7"/>
        </w:numPr>
        <w:spacing w:after="80" w:line="272"/>
      </w:pPr>
      <w:r>
        <w:rPr>
          <w:color w:val="1A211D"/>
        </w:rPr>
        <w:t xml:space="preserve">Click “Start Founder — $49/mo” and complete checkout.</w:t>
      </w:r>
    </w:p>
    <w:p>
      <w:pPr>
        <w:pStyle w:val="ListParagraph"/>
        <w:numPr>
          <w:ilvl w:val="0"/>
          <w:numId w:val="7"/>
        </w:numPr>
        <w:spacing w:after="80" w:line="272"/>
      </w:pPr>
      <w:r>
        <w:rPr>
          <w:color w:val="1A211D"/>
        </w:rPr>
        <w:t xml:space="preserve">Confirm the coach record flips to billing_status = active, plan_tier = founder, seat_limit = 25.</w:t>
      </w:r>
    </w:p>
    <w:p>
      <w:pPr>
        <w:pStyle w:val="ListParagraph"/>
        <w:numPr>
          <w:ilvl w:val="0"/>
          <w:numId w:val="7"/>
        </w:numPr>
        <w:spacing w:after="80" w:line="272"/>
      </w:pPr>
      <w:r>
        <w:rPr>
          <w:color w:val="1A211D"/>
        </w:rPr>
        <w:t xml:space="preserve">Cancel the subscription and refund the charge. Once this passes, you can route a paying coach.</w:t>
      </w:r>
    </w:p>
    <w:p>
      <w:pPr>
        <w:pStyle w:val="Heading2"/>
      </w:pPr>
      <w:r>
        <w:t xml:space="preserve">D. Troubleshooting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6000"/>
      </w:tblGrid>
      <w:tr>
        <w:trPr>
          <w:tblHeader/>
        </w:trP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Symptom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Likely fix</w:t>
            </w:r>
          </w:p>
        </w:tc>
      </w:tr>
      <w:t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Coach sees “Coach access only”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Their account has no active coach record. Provision/activate the coach row (Step A).</w:t>
            </w:r>
          </w:p>
        </w:tc>
      </w:tr>
      <w:t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Invited client never appears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Client hasn't opened the invite or hasn't consented yet. Re-share the link; invites are single-use and expire.</w:t>
            </w:r>
          </w:p>
        </w:tc>
      </w:tr>
      <w:t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“Seat limit reached” on invite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Active clients + pending invites hit the seat cap. Upgrade to Pro or wait for a pending invite to expire.</w:t>
            </w:r>
          </w:p>
        </w:tc>
      </w:tr>
      <w:t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Branding not showing for clients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Logo URL must be https; colors must be valid hex. Re-save branding; confirm the client used the ?coach=slug link.</w:t>
            </w:r>
          </w:p>
        </w:tc>
      </w:tr>
      <w:t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Roster empty but clients exist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Confirm those clients still have access on (not revoked) and consented. Revoked clients drop off immediately.</w:t>
            </w:r>
          </w:p>
        </w:tc>
      </w:tr>
    </w:tbl>
    <w:p>
      <w:pPr>
        <w:pStyle w:val="Heading2"/>
      </w:pPr>
      <w:r>
        <w:t xml:space="preserve">E. Support scripts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“Can I see my client's card number?” </w:t>
      </w:r>
      <w:r>
        <w:t xml:space="preserve">— No, and that's the point. You see timing only; it keeps you safe and your client trusting.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“Can I pay a bill for them?” </w:t>
      </w:r>
      <w:r>
        <w:t xml:space="preserve">— No. Coaches are read-only. You can request a reminder; the client acts.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“How do I add more clients?” </w:t>
      </w:r>
      <w:r>
        <w:t xml:space="preserve">— Upgrade to Pro (75 seats) from the billing bar, or free a seat.</w:t>
      </w:r>
    </w:p>
    <w:p>
      <w:pPr>
        <w:pStyle w:val="Heading2"/>
      </w:pPr>
      <w:r>
        <w:t xml:space="preserve">F. Metrics to track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Coaches provisioned vs. coaches with ≥ 1 active client (activation).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Clients invited vs. consented (invite conversion).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Average client utilization trend per coach (the outcome that proves value).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Founder seats claimed (toward the first-25 cap) and Founder → Pro upgrades.</w:t>
      </w:r>
    </w:p>
    <w:p>
      <w:pPr>
        <w:pStyle w:val="Heading2"/>
      </w:pPr>
      <w:r>
        <w:t xml:space="preserve">G. Security &amp; data-safety guardrails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Every coach action derives identity from the session — coach_id is never accepted from the client.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A coach sees a client only when the link is active and consent is recorded; cross-tenant access returns 403.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Coach-visible data never includes card numbers, access codes, session tokens, or secrets.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color w:val="1A211D"/>
        </w:rPr>
        <w:t xml:space="preserve">Never paste secret keys, API keys, or webhook secrets into chat, docs, or screenshots.</w:t>
      </w:r>
    </w:p>
    <w:p>
      <w:pPr>
        <w:pStyle w:val="Heading2"/>
      </w:pPr>
      <w:r>
        <w:t xml:space="preserve">H. Quick reference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6000"/>
      </w:tblGrid>
      <w:tr>
        <w:trPr>
          <w:tblHeader/>
        </w:trP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Item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Value</w:t>
            </w:r>
          </w:p>
        </w:tc>
      </w:tr>
      <w:t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Coach workspace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duesmart.com/coach.html</w:t>
            </w:r>
          </w:p>
        </w:tc>
      </w:tr>
      <w:t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Branded client link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duesmart.com/portal.html?coach=&lt;slug&gt;</w:t>
            </w:r>
          </w:p>
        </w:tc>
      </w:tr>
      <w:t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Coach marketing page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duesmart.com/coaches.html</w:t>
            </w:r>
          </w:p>
        </w:tc>
      </w:tr>
      <w:t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Plans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Founder $49 / 25 seats · Pro $99 / 75 seats (founder rate locked for life)</w:t>
            </w:r>
          </w:p>
        </w:tc>
      </w:tr>
      <w:tr>
        <w:tc>
          <w:tcPr>
            <w:tcW w:type="dxa" w:w="3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Trust promise</w:t>
            </w:r>
          </w:p>
        </w:tc>
        <w:tc>
          <w:tcPr>
            <w:tcW w:type="dxa" w:w="6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No bank login · no card numbers · consent required · client can revoke anytime</w:t>
            </w:r>
          </w:p>
        </w:tc>
      </w:tr>
    </w:tbl>
    <w:p>
      <w:pPr>
        <w:spacing w:after="160" w:before="40" w:line="20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20"/>
        <w:gridCol w:w="1310"/>
        <w:gridCol w:w="1500"/>
        <w:gridCol w:w="1310"/>
        <w:gridCol w:w="2620"/>
      </w:tblGrid>
      <w:tr>
        <w:trPr>
          <w:trHeight w:val="60" w:hRule="exact"/>
        </w:trPr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D1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color w:val="5C6B63"/>
        <w:sz w:val="16"/>
        <w:szCs w:val="16"/>
      </w:rPr>
      <w:t xml:space="preserve">Mayan Botanicals · DueSmart   ·   Page </w:t>
    </w:r>
    <w:r>
      <w:rPr>
        <w:color w:val="5C6B6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FFD100" w:sz="8" w:space="2"/>
      </w:pBdr>
      <w:spacing w:after="0"/>
      <w:jc w:val="right"/>
    </w:pPr>
    <w:r>
      <w:rPr>
        <w:color w:val="5C6B63"/>
        <w:sz w:val="16"/>
        <w:szCs w:val="16"/>
      </w:rPr>
      <w:t xml:space="preserve">DueSmart Coach Training Manual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211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color w:val="0A5C2E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Arial" w:cs="Arial" w:eastAsia="Arial" w:hAnsi="Arial"/>
      <w:b/>
      <w:bCs/>
      <w:color w:val="0A5C2E"/>
      <w:sz w:val="27"/>
      <w:szCs w:val="27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Arial" w:cs="Arial" w:eastAsia="Arial" w:hAnsi="Arial"/>
      <w:b/>
      <w:bCs/>
      <w:color w:val="1A211D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DueSmart Coach Training Manual</dc:title>
  <dc:creator>DueSmart / Mayan Botanicals</dc:creator>
  <cp:lastModifiedBy>Un-named</cp:lastModifiedBy>
  <cp:revision>1</cp:revision>
  <dcterms:created xsi:type="dcterms:W3CDTF">2026-06-20T22:00:00.120Z</dcterms:created>
  <dcterms:modified xsi:type="dcterms:W3CDTF">2026-06-20T22:00:00.120Z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